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B9" w:rsidRDefault="00A73FB9" w:rsidP="00A73FB9">
      <w:pPr>
        <w:jc w:val="center"/>
        <w:rPr>
          <w:i/>
          <w:u w:val="single"/>
        </w:rPr>
      </w:pPr>
      <w:r w:rsidRPr="00DA7D7A">
        <w:rPr>
          <w:i/>
          <w:u w:val="single"/>
        </w:rPr>
        <w:t>MODELE DE DELIBERATION</w:t>
      </w:r>
    </w:p>
    <w:p w:rsidR="00A73FB9" w:rsidRDefault="00A73FB9" w:rsidP="00A73FB9">
      <w:pPr>
        <w:jc w:val="center"/>
        <w:rPr>
          <w:i/>
          <w:u w:val="single"/>
        </w:rPr>
      </w:pPr>
    </w:p>
    <w:p w:rsidR="00A73FB9" w:rsidRDefault="00A73FB9" w:rsidP="00A73FB9"/>
    <w:p w:rsidR="00A73FB9" w:rsidRDefault="00A73FB9" w:rsidP="00A73FB9"/>
    <w:p w:rsidR="00A73FB9" w:rsidRPr="00CF3D2B" w:rsidRDefault="00A73FB9" w:rsidP="00A73FB9">
      <w:pPr>
        <w:jc w:val="both"/>
        <w:rPr>
          <w:sz w:val="22"/>
          <w:szCs w:val="22"/>
        </w:rPr>
      </w:pPr>
      <w:r w:rsidRPr="00CF3D2B">
        <w:rPr>
          <w:b/>
          <w:sz w:val="22"/>
          <w:szCs w:val="22"/>
          <w:u w:val="single"/>
        </w:rPr>
        <w:t>OBJET</w:t>
      </w:r>
      <w:r w:rsidRPr="00CF3D2B">
        <w:rPr>
          <w:sz w:val="22"/>
          <w:szCs w:val="22"/>
        </w:rPr>
        <w:t xml:space="preserve"> : </w:t>
      </w:r>
      <w:r w:rsidRPr="00CF3D2B">
        <w:rPr>
          <w:b/>
          <w:sz w:val="22"/>
          <w:szCs w:val="22"/>
        </w:rPr>
        <w:t>ADHESION AU DISPOSITIF DE TRAITEMENT ET DE GESTION DES DOSSIERS DE DEMANDE D’ALLOCATIONS DE CHOMAGE DU CENTRE DE GESTION DES DEUX-SEVRES</w:t>
      </w:r>
    </w:p>
    <w:p w:rsidR="00A73FB9" w:rsidRPr="00CF3D2B" w:rsidRDefault="00A73FB9" w:rsidP="00A73FB9">
      <w:pPr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Pr="00CF3D2B" w:rsidRDefault="00A73FB9" w:rsidP="00A73FB9">
      <w:pPr>
        <w:jc w:val="both"/>
        <w:rPr>
          <w:sz w:val="22"/>
          <w:szCs w:val="22"/>
        </w:rPr>
      </w:pPr>
      <w:r w:rsidRPr="00CF3D2B">
        <w:rPr>
          <w:sz w:val="22"/>
          <w:szCs w:val="22"/>
        </w:rPr>
        <w:t>Le Conseil municipal / le Comité syndical / le Conseil d’administration (1) de …………………………………</w:t>
      </w:r>
    </w:p>
    <w:p w:rsidR="00A73FB9" w:rsidRPr="00CF3D2B" w:rsidRDefault="00A73FB9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Vu le Code Général des Collectivités Territoriales ;</w:t>
      </w:r>
    </w:p>
    <w:p w:rsidR="00A73FB9" w:rsidRDefault="00A73FB9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Vu le Code Général de la fonction publique et notamment son article L452-40</w:t>
      </w:r>
      <w:r w:rsidRPr="00CF3D2B">
        <w:rPr>
          <w:rFonts w:ascii="Times New Roman" w:eastAsia="Times New Roman" w:hAnsi="Times New Roman"/>
          <w:lang w:eastAsia="fr-FR"/>
        </w:rPr>
        <w:t> ;</w:t>
      </w:r>
    </w:p>
    <w:p w:rsidR="00A73FB9" w:rsidRPr="00C33C26" w:rsidRDefault="00A73FB9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C33C26">
        <w:rPr>
          <w:rFonts w:ascii="Times New Roman" w:eastAsia="Times New Roman" w:hAnsi="Times New Roman"/>
          <w:lang w:eastAsia="fr-FR"/>
        </w:rPr>
        <w:t>Vu la délibération du Centre de Gestion des Deux-Sèvres en date du 2 décembre 2013 confiant au Centre de Gestion de la Charente-Maritime l’ensemble du traitement des dossiers d’allocations pour perte d’emploi, ainsi que leur suivi mensuel, des collectivités territoriales qui lui sont affiliées ;</w:t>
      </w:r>
    </w:p>
    <w:p w:rsidR="00A73FB9" w:rsidRDefault="00A73FB9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Vu la convention du 24 décembre 2013 relative à la réalisation par le Centre de Gestion de la fonction publique territoriale de la Charente-Maritime, pour le compte du Centre de Gestion de la fonction publique territoriale des Deux-Sèvres, du traitement des dossiers de demandes d’allocations de chômage et de leur gestion</w:t>
      </w:r>
      <w:r>
        <w:rPr>
          <w:rFonts w:ascii="Times New Roman" w:eastAsia="Times New Roman" w:hAnsi="Times New Roman"/>
          <w:lang w:eastAsia="fr-FR"/>
        </w:rPr>
        <w:t>,</w:t>
      </w:r>
      <w:r w:rsidRPr="00CF3D2B">
        <w:rPr>
          <w:rFonts w:ascii="Times New Roman" w:eastAsia="Times New Roman" w:hAnsi="Times New Roman"/>
          <w:lang w:eastAsia="fr-FR"/>
        </w:rPr>
        <w:t xml:space="preserve"> déposés par les collectivités territoriales qui lui sont affiliées ;</w:t>
      </w:r>
    </w:p>
    <w:p w:rsidR="00DC102F" w:rsidRPr="00CF3D2B" w:rsidRDefault="00DC102F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 xml:space="preserve">Vu l’avenant </w:t>
      </w:r>
      <w:r w:rsidR="00126F2F">
        <w:rPr>
          <w:rFonts w:ascii="Times New Roman" w:eastAsia="Times New Roman" w:hAnsi="Times New Roman"/>
          <w:lang w:eastAsia="fr-FR"/>
        </w:rPr>
        <w:t>du</w:t>
      </w:r>
      <w:r w:rsidR="00126F2F">
        <w:rPr>
          <w:rFonts w:ascii="Times New Roman" w:eastAsia="Times New Roman" w:hAnsi="Times New Roman"/>
          <w:lang w:eastAsia="fr-FR"/>
        </w:rPr>
        <w:t xml:space="preserve"> 9 décembre 2024</w:t>
      </w:r>
      <w:r w:rsidR="00126F2F">
        <w:rPr>
          <w:rFonts w:ascii="Times New Roman" w:eastAsia="Times New Roman" w:hAnsi="Times New Roman"/>
          <w:lang w:eastAsia="fr-FR"/>
        </w:rPr>
        <w:t xml:space="preserve"> </w:t>
      </w:r>
      <w:r w:rsidR="00126F2F">
        <w:rPr>
          <w:rFonts w:ascii="Times New Roman" w:eastAsia="Times New Roman" w:hAnsi="Times New Roman"/>
          <w:lang w:eastAsia="fr-FR"/>
        </w:rPr>
        <w:t xml:space="preserve">de la convention relative à la réalisation par le Centre de Gestion </w:t>
      </w:r>
      <w:r w:rsidR="007C630B">
        <w:rPr>
          <w:rFonts w:ascii="Times New Roman" w:eastAsia="Times New Roman" w:hAnsi="Times New Roman"/>
          <w:lang w:eastAsia="fr-FR"/>
        </w:rPr>
        <w:t xml:space="preserve">de la fonction publique territoriale </w:t>
      </w:r>
      <w:r w:rsidR="00126F2F">
        <w:rPr>
          <w:rFonts w:ascii="Times New Roman" w:eastAsia="Times New Roman" w:hAnsi="Times New Roman"/>
          <w:lang w:eastAsia="fr-FR"/>
        </w:rPr>
        <w:t>de la Charente-Maritime du traitement des dossiers de demandes d’allocations de chômage et de leur gestion, signé par le Centre de Gestion de</w:t>
      </w:r>
      <w:r w:rsidR="007C630B">
        <w:rPr>
          <w:rFonts w:ascii="Times New Roman" w:eastAsia="Times New Roman" w:hAnsi="Times New Roman"/>
          <w:lang w:eastAsia="fr-FR"/>
        </w:rPr>
        <w:t xml:space="preserve"> la fonction publique territoriale des Deux-Sèvres et le Centre de Gestion de la fonction publique territoriale de la Charente-Maritime ;</w:t>
      </w:r>
    </w:p>
    <w:p w:rsidR="00A73FB9" w:rsidRPr="002804EF" w:rsidRDefault="00A73FB9" w:rsidP="00A73FB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fr-FR"/>
        </w:rPr>
      </w:pPr>
      <w:r w:rsidRPr="002804EF">
        <w:rPr>
          <w:rFonts w:ascii="Times New Roman" w:eastAsia="Times New Roman" w:hAnsi="Times New Roman"/>
          <w:lang w:eastAsia="fr-FR"/>
        </w:rPr>
        <w:t xml:space="preserve">Vu la délibération du Centre de Gestion des Deux-Sèvres en date </w:t>
      </w:r>
      <w:r w:rsidRPr="002E7CB8">
        <w:rPr>
          <w:rFonts w:ascii="Times New Roman" w:eastAsia="Times New Roman" w:hAnsi="Times New Roman"/>
          <w:lang w:eastAsia="fr-FR"/>
        </w:rPr>
        <w:t xml:space="preserve">du 9 décembre 2024 fixant </w:t>
      </w:r>
      <w:r w:rsidRPr="002804EF">
        <w:rPr>
          <w:rFonts w:ascii="Times New Roman" w:eastAsia="Times New Roman" w:hAnsi="Times New Roman"/>
          <w:lang w:eastAsia="fr-FR"/>
        </w:rPr>
        <w:t>la tarification applicable aux collectivités et établissements utilisateurs</w:t>
      </w:r>
      <w:r>
        <w:rPr>
          <w:rFonts w:ascii="Times New Roman" w:eastAsia="Times New Roman" w:hAnsi="Times New Roman"/>
          <w:lang w:eastAsia="fr-FR"/>
        </w:rPr>
        <w:t xml:space="preserve"> du service</w:t>
      </w:r>
      <w:r w:rsidRPr="002804EF">
        <w:rPr>
          <w:rFonts w:ascii="Times New Roman" w:eastAsia="Times New Roman" w:hAnsi="Times New Roman"/>
          <w:lang w:eastAsia="fr-FR"/>
        </w:rPr>
        <w:t xml:space="preserve"> à compter du </w:t>
      </w:r>
      <w:r w:rsidRPr="002E7CB8">
        <w:rPr>
          <w:rFonts w:ascii="Times New Roman" w:eastAsia="Times New Roman" w:hAnsi="Times New Roman"/>
          <w:lang w:eastAsia="fr-FR"/>
        </w:rPr>
        <w:t xml:space="preserve">1er janvier 2025 et </w:t>
      </w:r>
      <w:r w:rsidRPr="002804EF">
        <w:rPr>
          <w:rFonts w:ascii="Times New Roman" w:eastAsia="Times New Roman" w:hAnsi="Times New Roman"/>
          <w:lang w:eastAsia="fr-FR"/>
        </w:rPr>
        <w:t>approuvant la présente convention.</w:t>
      </w:r>
    </w:p>
    <w:p w:rsidR="00A73FB9" w:rsidRPr="00CF3D2B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  <w:r w:rsidRPr="00CF3D2B">
        <w:rPr>
          <w:sz w:val="22"/>
          <w:szCs w:val="22"/>
        </w:rPr>
        <w:t>Le Maire/ Président informe le Conseil municipal / conseil d’administration / conseil syndical que</w:t>
      </w:r>
      <w:r>
        <w:rPr>
          <w:sz w:val="22"/>
          <w:szCs w:val="22"/>
        </w:rPr>
        <w:t> :</w:t>
      </w: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CF3D2B">
        <w:rPr>
          <w:sz w:val="22"/>
          <w:szCs w:val="22"/>
        </w:rPr>
        <w:t>le</w:t>
      </w:r>
      <w:proofErr w:type="gramEnd"/>
      <w:r w:rsidRPr="00CF3D2B">
        <w:rPr>
          <w:sz w:val="22"/>
          <w:szCs w:val="22"/>
        </w:rPr>
        <w:t xml:space="preserve"> Centre de gestion a confié</w:t>
      </w:r>
      <w:r>
        <w:rPr>
          <w:sz w:val="22"/>
          <w:szCs w:val="22"/>
        </w:rPr>
        <w:t xml:space="preserve">, depuis 2014 </w:t>
      </w:r>
      <w:r w:rsidRPr="00CF3D2B">
        <w:rPr>
          <w:sz w:val="22"/>
          <w:szCs w:val="22"/>
        </w:rPr>
        <w:t xml:space="preserve"> au CDG 17 le traitement et la gestion des demandes d’allocations de chômage déposées par les collectivités et établissements affiliés au Cent</w:t>
      </w:r>
      <w:r>
        <w:rPr>
          <w:sz w:val="22"/>
          <w:szCs w:val="22"/>
        </w:rPr>
        <w:t>re de gestion des Deux-Sèvres ;</w:t>
      </w:r>
    </w:p>
    <w:p w:rsidR="00A73FB9" w:rsidRDefault="00A73FB9" w:rsidP="00A73F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2804EF">
        <w:rPr>
          <w:sz w:val="22"/>
          <w:szCs w:val="22"/>
        </w:rPr>
        <w:t>le</w:t>
      </w:r>
      <w:proofErr w:type="gramEnd"/>
      <w:r w:rsidRPr="002804EF">
        <w:rPr>
          <w:sz w:val="22"/>
          <w:szCs w:val="22"/>
        </w:rPr>
        <w:t xml:space="preserve"> Centre de gestion propose aux collectivités et établissements publics affiliés,  depuis</w:t>
      </w:r>
      <w:r>
        <w:rPr>
          <w:sz w:val="22"/>
          <w:szCs w:val="22"/>
        </w:rPr>
        <w:t xml:space="preserve">             </w:t>
      </w:r>
      <w:r w:rsidRPr="002804EF">
        <w:rPr>
          <w:sz w:val="22"/>
          <w:szCs w:val="22"/>
        </w:rPr>
        <w:t xml:space="preserve"> le </w:t>
      </w:r>
      <w:r w:rsidRPr="00545770">
        <w:rPr>
          <w:sz w:val="22"/>
          <w:szCs w:val="22"/>
        </w:rPr>
        <w:t>1er janvier 2020</w:t>
      </w:r>
      <w:r w:rsidRPr="002804EF">
        <w:rPr>
          <w:sz w:val="22"/>
          <w:szCs w:val="22"/>
        </w:rPr>
        <w:t xml:space="preserve">, un conventionnement leur permettant de bénéficier des prestations de conseil, d’étude et de suivi des </w:t>
      </w:r>
      <w:r w:rsidRPr="002E7CB8">
        <w:rPr>
          <w:sz w:val="22"/>
          <w:szCs w:val="22"/>
        </w:rPr>
        <w:t>dossiers c</w:t>
      </w:r>
      <w:r w:rsidRPr="002804EF">
        <w:rPr>
          <w:sz w:val="22"/>
          <w:szCs w:val="22"/>
        </w:rPr>
        <w:t xml:space="preserve">hômage ; les prestations sont </w:t>
      </w:r>
      <w:r>
        <w:rPr>
          <w:sz w:val="22"/>
          <w:szCs w:val="22"/>
        </w:rPr>
        <w:t>re</w:t>
      </w:r>
      <w:r w:rsidRPr="002804EF">
        <w:rPr>
          <w:sz w:val="22"/>
          <w:szCs w:val="22"/>
        </w:rPr>
        <w:t>facturées aux utilisateurs du service par le CDG79</w:t>
      </w:r>
      <w:r>
        <w:rPr>
          <w:sz w:val="22"/>
          <w:szCs w:val="22"/>
        </w:rPr>
        <w:t xml:space="preserve">. </w:t>
      </w:r>
    </w:p>
    <w:p w:rsidR="00A73FB9" w:rsidRPr="002804EF" w:rsidRDefault="00A73FB9" w:rsidP="00A73F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Conseil d’Administration du CDG79, en sa session </w:t>
      </w:r>
      <w:r w:rsidRPr="002E7CB8">
        <w:rPr>
          <w:sz w:val="22"/>
          <w:szCs w:val="22"/>
        </w:rPr>
        <w:t xml:space="preserve">du 9 décembre </w:t>
      </w:r>
      <w:r>
        <w:rPr>
          <w:sz w:val="22"/>
          <w:szCs w:val="22"/>
        </w:rPr>
        <w:t>dernier,</w:t>
      </w:r>
      <w:r w:rsidR="002E7CB8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a</w:t>
      </w:r>
      <w:r w:rsidR="002E7CB8">
        <w:rPr>
          <w:sz w:val="22"/>
          <w:szCs w:val="22"/>
        </w:rPr>
        <w:t xml:space="preserve">cté l’évolution tarifaire des prestations chômage </w:t>
      </w:r>
      <w:r>
        <w:rPr>
          <w:sz w:val="22"/>
          <w:szCs w:val="22"/>
        </w:rPr>
        <w:t>;</w:t>
      </w:r>
    </w:p>
    <w:p w:rsidR="00A73FB9" w:rsidRDefault="00A73FB9" w:rsidP="00A73F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CDG79</w:t>
      </w:r>
      <w:r w:rsidRPr="00CF3D2B">
        <w:rPr>
          <w:sz w:val="22"/>
          <w:szCs w:val="22"/>
        </w:rPr>
        <w:t xml:space="preserve"> s’engage à mettre à disposition des collectivités et établissements qui lui sont affiliés, dans le cadre de la présente convention, les prestations suivantes assurées par le Centre de Gestion de la Charente-Maritime :</w:t>
      </w:r>
    </w:p>
    <w:p w:rsidR="00A73FB9" w:rsidRPr="00CF3D2B" w:rsidRDefault="00A73FB9" w:rsidP="00A73FB9">
      <w:pPr>
        <w:jc w:val="both"/>
        <w:rPr>
          <w:sz w:val="22"/>
          <w:szCs w:val="22"/>
        </w:rPr>
      </w:pPr>
    </w:p>
    <w:p w:rsidR="00A73FB9" w:rsidRPr="00CF3D2B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Etude et simulation du droit initial à indemnisation chômage ;</w:t>
      </w:r>
    </w:p>
    <w:p w:rsidR="00A73FB9" w:rsidRPr="00CF3D2B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Etude des droits en cas de reprise ou réadmission à l’indemnisation chômage ;</w:t>
      </w:r>
    </w:p>
    <w:p w:rsidR="00A73FB9" w:rsidRPr="00CF3D2B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Etude des cumuls de l’allocation chômage avec une ou plusieurs activités réduites ;</w:t>
      </w:r>
    </w:p>
    <w:p w:rsidR="00A73FB9" w:rsidRPr="00CF3D2B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lastRenderedPageBreak/>
        <w:t>Etude de réactualisation des données selon les délibérations de l’UNEDIC ;</w:t>
      </w:r>
    </w:p>
    <w:p w:rsidR="00A73FB9" w:rsidRPr="00CF3D2B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Suivi mensuel des droits à l’allocation chômage ;</w:t>
      </w:r>
    </w:p>
    <w:p w:rsidR="00A73FB9" w:rsidRDefault="00A73FB9" w:rsidP="00A73FB9">
      <w:pPr>
        <w:pStyle w:val="Paragraphedeliste"/>
        <w:numPr>
          <w:ilvl w:val="0"/>
          <w:numId w:val="2"/>
        </w:numPr>
        <w:ind w:left="1276"/>
        <w:jc w:val="both"/>
        <w:rPr>
          <w:rFonts w:ascii="Times New Roman" w:eastAsia="Times New Roman" w:hAnsi="Times New Roman"/>
          <w:lang w:eastAsia="fr-FR"/>
        </w:rPr>
      </w:pPr>
      <w:r w:rsidRPr="00CF3D2B">
        <w:rPr>
          <w:rFonts w:ascii="Times New Roman" w:eastAsia="Times New Roman" w:hAnsi="Times New Roman"/>
          <w:lang w:eastAsia="fr-FR"/>
        </w:rPr>
        <w:t>Conseil juridique sur les questions d’indemnisation chômage.</w:t>
      </w:r>
    </w:p>
    <w:p w:rsidR="00A73FB9" w:rsidRDefault="00A73FB9" w:rsidP="00A73FB9">
      <w:pPr>
        <w:pStyle w:val="Paragraphedeliste"/>
        <w:ind w:left="1276"/>
        <w:jc w:val="both"/>
        <w:rPr>
          <w:rFonts w:ascii="Times New Roman" w:eastAsia="Times New Roman" w:hAnsi="Times New Roman"/>
          <w:lang w:eastAsia="fr-FR"/>
        </w:rPr>
      </w:pPr>
    </w:p>
    <w:p w:rsidR="00A73FB9" w:rsidRPr="002804EF" w:rsidRDefault="00A73FB9" w:rsidP="00A73FB9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fr-FR"/>
        </w:rPr>
      </w:pPr>
      <w:r w:rsidRPr="002804EF">
        <w:rPr>
          <w:rFonts w:ascii="Times New Roman" w:eastAsia="Times New Roman" w:hAnsi="Times New Roman"/>
          <w:lang w:eastAsia="fr-FR"/>
        </w:rPr>
        <w:t xml:space="preserve">Le CDG 79 prend en charge le droit d’adhésion forfaitaire annuel permettant de disposer des prestations </w:t>
      </w:r>
      <w:r>
        <w:rPr>
          <w:rFonts w:ascii="Times New Roman" w:eastAsia="Times New Roman" w:hAnsi="Times New Roman"/>
          <w:lang w:eastAsia="fr-FR"/>
        </w:rPr>
        <w:t>précitées.</w:t>
      </w:r>
    </w:p>
    <w:p w:rsidR="00A73FB9" w:rsidRDefault="00A73FB9" w:rsidP="00A73FB9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La</w:t>
      </w:r>
      <w:r w:rsidRPr="00366CF2">
        <w:rPr>
          <w:sz w:val="22"/>
        </w:rPr>
        <w:t xml:space="preserve"> tarification </w:t>
      </w:r>
      <w:r>
        <w:rPr>
          <w:sz w:val="22"/>
        </w:rPr>
        <w:t xml:space="preserve">établie par le CDG 79 </w:t>
      </w:r>
      <w:r w:rsidRPr="00366CF2">
        <w:rPr>
          <w:sz w:val="22"/>
        </w:rPr>
        <w:t xml:space="preserve">pour les prestations </w:t>
      </w:r>
      <w:r>
        <w:rPr>
          <w:sz w:val="22"/>
        </w:rPr>
        <w:t xml:space="preserve">d’étude et simulation du droit initial, de </w:t>
      </w:r>
      <w:r w:rsidRPr="00366CF2">
        <w:rPr>
          <w:sz w:val="22"/>
        </w:rPr>
        <w:t xml:space="preserve">conseil, de gestion et de suivi desdits dossiers correspondent </w:t>
      </w:r>
      <w:r>
        <w:rPr>
          <w:sz w:val="22"/>
        </w:rPr>
        <w:t>aux tarifs</w:t>
      </w:r>
      <w:r w:rsidRPr="00366CF2">
        <w:rPr>
          <w:sz w:val="22"/>
        </w:rPr>
        <w:t xml:space="preserve"> </w:t>
      </w:r>
      <w:r>
        <w:rPr>
          <w:sz w:val="22"/>
        </w:rPr>
        <w:t xml:space="preserve">fixés </w:t>
      </w:r>
      <w:r w:rsidRPr="00366CF2">
        <w:rPr>
          <w:sz w:val="22"/>
        </w:rPr>
        <w:t xml:space="preserve">dans le cadre du conventionnement </w:t>
      </w:r>
      <w:r>
        <w:rPr>
          <w:sz w:val="22"/>
        </w:rPr>
        <w:t>entre le CDG79 et</w:t>
      </w:r>
      <w:r w:rsidRPr="00366CF2">
        <w:rPr>
          <w:sz w:val="22"/>
        </w:rPr>
        <w:t xml:space="preserve"> le CDG17 et sont précisés dans la convention d’adhésion</w:t>
      </w:r>
      <w:r>
        <w:rPr>
          <w:sz w:val="22"/>
        </w:rPr>
        <w:t>. Ces derniers demeurent inchangés depuis le 1</w:t>
      </w:r>
      <w:r w:rsidRPr="00DF1B01">
        <w:rPr>
          <w:sz w:val="22"/>
          <w:vertAlign w:val="superscript"/>
        </w:rPr>
        <w:t>er</w:t>
      </w:r>
      <w:r>
        <w:rPr>
          <w:sz w:val="22"/>
        </w:rPr>
        <w:t xml:space="preserve"> janvier </w:t>
      </w:r>
      <w:r w:rsidRPr="002E7CB8">
        <w:rPr>
          <w:sz w:val="22"/>
        </w:rPr>
        <w:t>2020 sauf pour le conseil juridique.</w:t>
      </w:r>
    </w:p>
    <w:p w:rsidR="00A73FB9" w:rsidRDefault="00A73FB9" w:rsidP="00A73FB9">
      <w:pPr>
        <w:jc w:val="both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985"/>
      </w:tblGrid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Etude et simulation du droit initial à indemnisation chômage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150,00 € / dossier</w:t>
            </w:r>
          </w:p>
          <w:p w:rsidR="00A73FB9" w:rsidRPr="00933547" w:rsidRDefault="00A73FB9" w:rsidP="00763626">
            <w:pPr>
              <w:jc w:val="both"/>
              <w:rPr>
                <w:sz w:val="22"/>
              </w:rPr>
            </w:pPr>
          </w:p>
        </w:tc>
      </w:tr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Etude des droits en cas de reprise, en cas de réadmission ou mise à jour du dossier après simulation :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58,00 € / dossier</w:t>
            </w:r>
          </w:p>
        </w:tc>
      </w:tr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Etude des cumuls de l’allocation chômage / activités réduites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pStyle w:val="Paragraphedeliste"/>
              <w:ind w:left="39"/>
              <w:jc w:val="both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933547">
              <w:rPr>
                <w:rFonts w:ascii="Times New Roman" w:eastAsia="Times New Roman" w:hAnsi="Times New Roman"/>
                <w:szCs w:val="24"/>
                <w:lang w:eastAsia="fr-FR"/>
              </w:rPr>
              <w:t>37,00 € / dossier</w:t>
            </w:r>
          </w:p>
        </w:tc>
      </w:tr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Etude de réactualisation des données selon les délibérations de l’UNEDIC 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20,00 € / dossier</w:t>
            </w:r>
          </w:p>
          <w:p w:rsidR="00A73FB9" w:rsidRPr="00933547" w:rsidRDefault="00A73FB9" w:rsidP="00763626">
            <w:pPr>
              <w:jc w:val="both"/>
              <w:rPr>
                <w:sz w:val="22"/>
              </w:rPr>
            </w:pPr>
          </w:p>
        </w:tc>
      </w:tr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pStyle w:val="Paragraphedeliste"/>
              <w:ind w:left="0"/>
              <w:jc w:val="both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933547">
              <w:rPr>
                <w:rFonts w:ascii="Times New Roman" w:eastAsia="Times New Roman" w:hAnsi="Times New Roman"/>
                <w:szCs w:val="24"/>
                <w:lang w:eastAsia="fr-FR"/>
              </w:rPr>
              <w:t xml:space="preserve">Suivi mensuel 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933547">
              <w:rPr>
                <w:sz w:val="22"/>
              </w:rPr>
              <w:t>14,00 € (tarification mensuelle)</w:t>
            </w:r>
          </w:p>
        </w:tc>
      </w:tr>
      <w:tr w:rsidR="00A73FB9" w:rsidRPr="00933547" w:rsidTr="00763626">
        <w:tc>
          <w:tcPr>
            <w:tcW w:w="6662" w:type="dxa"/>
            <w:shd w:val="clear" w:color="auto" w:fill="auto"/>
          </w:tcPr>
          <w:p w:rsidR="00A73FB9" w:rsidRPr="00933547" w:rsidRDefault="00A73FB9" w:rsidP="00763626">
            <w:pPr>
              <w:pStyle w:val="Paragraphedeliste"/>
              <w:ind w:left="0"/>
              <w:jc w:val="both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933547">
              <w:rPr>
                <w:rFonts w:ascii="Times New Roman" w:eastAsia="Times New Roman" w:hAnsi="Times New Roman"/>
                <w:szCs w:val="24"/>
                <w:lang w:eastAsia="fr-FR"/>
              </w:rPr>
              <w:t>Conseil juridique </w:t>
            </w:r>
          </w:p>
        </w:tc>
        <w:tc>
          <w:tcPr>
            <w:tcW w:w="1985" w:type="dxa"/>
            <w:shd w:val="clear" w:color="auto" w:fill="auto"/>
          </w:tcPr>
          <w:p w:rsidR="00A73FB9" w:rsidRPr="00933547" w:rsidRDefault="00A73FB9" w:rsidP="00763626">
            <w:pPr>
              <w:jc w:val="both"/>
              <w:rPr>
                <w:sz w:val="22"/>
              </w:rPr>
            </w:pPr>
            <w:r w:rsidRPr="002E7CB8">
              <w:rPr>
                <w:sz w:val="22"/>
              </w:rPr>
              <w:t>95 €/ heure</w:t>
            </w:r>
          </w:p>
        </w:tc>
      </w:tr>
    </w:tbl>
    <w:p w:rsidR="00A73FB9" w:rsidRDefault="00A73FB9" w:rsidP="00A73FB9">
      <w:pPr>
        <w:ind w:right="71" w:firstLine="709"/>
        <w:jc w:val="both"/>
        <w:rPr>
          <w:sz w:val="22"/>
        </w:rPr>
      </w:pPr>
    </w:p>
    <w:p w:rsidR="00A73FB9" w:rsidRPr="00DF1B01" w:rsidRDefault="00A73FB9" w:rsidP="00A73FB9">
      <w:pPr>
        <w:ind w:right="71"/>
        <w:jc w:val="both"/>
        <w:rPr>
          <w:sz w:val="22"/>
        </w:rPr>
      </w:pPr>
      <w:r w:rsidRPr="00DF1B01">
        <w:rPr>
          <w:sz w:val="22"/>
        </w:rPr>
        <w:t xml:space="preserve">Le Maire (Le Président) rappelle que ladite convention ne donne lieu à facturation par le Centre de gestion que si </w:t>
      </w:r>
      <w:smartTag w:uri="urn:schemas-microsoft-com:office:smarttags" w:element="PersonName">
        <w:smartTagPr>
          <w:attr w:name="ProductID" w:val="la Commune"/>
        </w:smartTagPr>
        <w:r w:rsidRPr="00DF1B01">
          <w:rPr>
            <w:sz w:val="22"/>
          </w:rPr>
          <w:t>la Commune</w:t>
        </w:r>
      </w:smartTag>
      <w:r w:rsidRPr="00DF1B01">
        <w:rPr>
          <w:sz w:val="22"/>
        </w:rPr>
        <w:t xml:space="preserve"> (ou l’Etablissement) utilise les prestations proposées. En revanche il est impossible de solliciter le concours </w:t>
      </w:r>
      <w:r>
        <w:rPr>
          <w:sz w:val="22"/>
        </w:rPr>
        <w:t xml:space="preserve">de ce service facultatif </w:t>
      </w:r>
      <w:r w:rsidRPr="00DF1B01">
        <w:rPr>
          <w:sz w:val="22"/>
        </w:rPr>
        <w:t>pour</w:t>
      </w:r>
      <w:r>
        <w:rPr>
          <w:sz w:val="22"/>
        </w:rPr>
        <w:t xml:space="preserve"> le traitement desdits dossiers, </w:t>
      </w:r>
      <w:r w:rsidRPr="00DF1B01">
        <w:rPr>
          <w:sz w:val="22"/>
        </w:rPr>
        <w:t>sans avoir conventionné au préalable. Il précise que la convention proposée est</w:t>
      </w:r>
      <w:r>
        <w:rPr>
          <w:sz w:val="22"/>
        </w:rPr>
        <w:t xml:space="preserve"> d’une durée d’un </w:t>
      </w:r>
      <w:r w:rsidRPr="00545770">
        <w:rPr>
          <w:sz w:val="22"/>
        </w:rPr>
        <w:t xml:space="preserve">an, </w:t>
      </w:r>
      <w:r>
        <w:rPr>
          <w:sz w:val="22"/>
        </w:rPr>
        <w:t>renouvelable par tacite reconduction.</w:t>
      </w:r>
    </w:p>
    <w:p w:rsidR="00A73FB9" w:rsidRDefault="00A73FB9" w:rsidP="00A73FB9">
      <w:pPr>
        <w:jc w:val="both"/>
      </w:pPr>
      <w:bookmarkStart w:id="0" w:name="_GoBack"/>
      <w:bookmarkEnd w:id="0"/>
    </w:p>
    <w:p w:rsidR="00A73FB9" w:rsidRPr="005B2295" w:rsidRDefault="00A73FB9" w:rsidP="00A73FB9">
      <w:pPr>
        <w:jc w:val="both"/>
        <w:rPr>
          <w:sz w:val="22"/>
          <w:szCs w:val="22"/>
        </w:rPr>
      </w:pPr>
      <w:r w:rsidRPr="005B2295">
        <w:rPr>
          <w:sz w:val="22"/>
          <w:szCs w:val="22"/>
        </w:rPr>
        <w:t>Considérant l’intérêt pour la commune /l’établissement public d’adhérer au dispositif de traitement et de gestion des dossiers de demande d’allocations de chômage,</w:t>
      </w:r>
      <w:r>
        <w:rPr>
          <w:sz w:val="22"/>
          <w:szCs w:val="22"/>
        </w:rPr>
        <w:t xml:space="preserve"> notamment</w:t>
      </w:r>
      <w:r w:rsidRPr="005B2295">
        <w:rPr>
          <w:sz w:val="22"/>
          <w:szCs w:val="22"/>
        </w:rPr>
        <w:t xml:space="preserve"> au regard de la complexité desdits dossiers. 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b/>
          <w:sz w:val="22"/>
          <w:szCs w:val="22"/>
        </w:rPr>
      </w:pPr>
    </w:p>
    <w:p w:rsidR="00A73FB9" w:rsidRPr="005B2295" w:rsidRDefault="00A73FB9" w:rsidP="00A73FB9">
      <w:pPr>
        <w:jc w:val="both"/>
        <w:rPr>
          <w:b/>
          <w:sz w:val="22"/>
          <w:szCs w:val="22"/>
        </w:rPr>
      </w:pPr>
      <w:r w:rsidRPr="005B2295">
        <w:rPr>
          <w:b/>
          <w:sz w:val="22"/>
          <w:szCs w:val="22"/>
        </w:rPr>
        <w:t>Le Conseil municipal/ le Comité syndical / le Conseil d’administration (1) après en avoir délibéré,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  <w:r w:rsidRPr="005B2295">
        <w:rPr>
          <w:sz w:val="22"/>
          <w:szCs w:val="22"/>
        </w:rPr>
        <w:t>► DECIDE :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  <w:r w:rsidRPr="005B2295">
        <w:rPr>
          <w:sz w:val="22"/>
          <w:szCs w:val="22"/>
        </w:rPr>
        <w:t>1°) d’adhérer au dispositif de traitement et de gestion des demandes d’allocations chômage mis à disposition par le Centre de gestion des Deux-Sèvres, et s’engage à rembourser au CDG</w:t>
      </w:r>
      <w:r>
        <w:rPr>
          <w:sz w:val="22"/>
          <w:szCs w:val="22"/>
        </w:rPr>
        <w:t>79 les prestations d’étude et de simulation du droit initial à indemnisation chômage, de</w:t>
      </w:r>
      <w:r w:rsidRPr="005B2295">
        <w:rPr>
          <w:sz w:val="22"/>
          <w:szCs w:val="22"/>
        </w:rPr>
        <w:t xml:space="preserve"> conseil, de gestion et de suivi des dossiers chômage traitées dans le cadre du conventionnement entre le CDG des Deux-Sèvres et le CDG de la Charente-Maritime, et selon les tarifs indiqués dans la convention d’adhésion ;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  <w:r w:rsidRPr="005B2295">
        <w:rPr>
          <w:sz w:val="22"/>
          <w:szCs w:val="22"/>
        </w:rPr>
        <w:t>2°) d’autoriser le Maire / Le Président à signer la convention d’adhésion,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  <w:r w:rsidRPr="005B2295">
        <w:rPr>
          <w:sz w:val="22"/>
          <w:szCs w:val="22"/>
        </w:rPr>
        <w:t>► PREND L’ENGAGEMENT d’inscrire les crédits nécessaires à la mise en œuvre de la présente délibération aux budgets des exercices correspondants.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center"/>
        <w:rPr>
          <w:sz w:val="22"/>
          <w:szCs w:val="22"/>
        </w:rPr>
      </w:pPr>
      <w:r w:rsidRPr="005B2295">
        <w:rPr>
          <w:sz w:val="22"/>
          <w:szCs w:val="22"/>
        </w:rPr>
        <w:t>Ainsi délibéré et signé après lecture,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center"/>
        <w:rPr>
          <w:sz w:val="22"/>
          <w:szCs w:val="22"/>
        </w:rPr>
      </w:pPr>
      <w:r w:rsidRPr="005B2295">
        <w:rPr>
          <w:sz w:val="22"/>
          <w:szCs w:val="22"/>
        </w:rPr>
        <w:t>Le Maire ou le Président (1),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rPr>
          <w:sz w:val="22"/>
          <w:szCs w:val="22"/>
        </w:rPr>
      </w:pPr>
      <w:r w:rsidRPr="005B2295">
        <w:rPr>
          <w:sz w:val="22"/>
          <w:szCs w:val="22"/>
        </w:rPr>
        <w:t>Délibération télétransmise en Préfecture le</w:t>
      </w:r>
    </w:p>
    <w:p w:rsidR="00A73FB9" w:rsidRPr="005B2295" w:rsidRDefault="00A73FB9" w:rsidP="00A73FB9">
      <w:pPr>
        <w:rPr>
          <w:sz w:val="22"/>
          <w:szCs w:val="22"/>
        </w:rPr>
      </w:pPr>
      <w:r w:rsidRPr="005B2295">
        <w:rPr>
          <w:sz w:val="22"/>
          <w:szCs w:val="22"/>
        </w:rPr>
        <w:t>Accusé réception le</w:t>
      </w: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sz w:val="22"/>
          <w:szCs w:val="22"/>
        </w:rPr>
      </w:pPr>
    </w:p>
    <w:p w:rsidR="00A73FB9" w:rsidRPr="005B2295" w:rsidRDefault="00A73FB9" w:rsidP="00A73FB9">
      <w:pPr>
        <w:jc w:val="both"/>
        <w:rPr>
          <w:i/>
          <w:sz w:val="22"/>
          <w:szCs w:val="22"/>
        </w:rPr>
      </w:pPr>
      <w:r w:rsidRPr="005B2295">
        <w:rPr>
          <w:i/>
          <w:sz w:val="22"/>
          <w:szCs w:val="22"/>
        </w:rPr>
        <w:t>(1) Supprimer les mentions inutiles.</w:t>
      </w:r>
    </w:p>
    <w:p w:rsidR="00A064C5" w:rsidRDefault="00A064C5"/>
    <w:sectPr w:rsidR="00A0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A8A"/>
    <w:multiLevelType w:val="hybridMultilevel"/>
    <w:tmpl w:val="DC925242"/>
    <w:lvl w:ilvl="0" w:tplc="61CE94A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6E5D"/>
    <w:multiLevelType w:val="hybridMultilevel"/>
    <w:tmpl w:val="574C68B6"/>
    <w:lvl w:ilvl="0" w:tplc="E4145544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297D"/>
    <w:multiLevelType w:val="hybridMultilevel"/>
    <w:tmpl w:val="A516BBF0"/>
    <w:lvl w:ilvl="0" w:tplc="040C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E0"/>
    <w:rsid w:val="00126F2F"/>
    <w:rsid w:val="002E7CB8"/>
    <w:rsid w:val="00545770"/>
    <w:rsid w:val="006670ED"/>
    <w:rsid w:val="007C630B"/>
    <w:rsid w:val="009A42E0"/>
    <w:rsid w:val="00A064C5"/>
    <w:rsid w:val="00A73FB9"/>
    <w:rsid w:val="00D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E3B13B"/>
  <w15:chartTrackingRefBased/>
  <w15:docId w15:val="{09FCEEC7-337E-4C2B-9D96-BE20FE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VB. BERNARD</dc:creator>
  <cp:keywords/>
  <dc:description/>
  <cp:lastModifiedBy>Veronique VB. BERNARD</cp:lastModifiedBy>
  <cp:revision>4</cp:revision>
  <cp:lastPrinted>2025-02-27T09:39:00Z</cp:lastPrinted>
  <dcterms:created xsi:type="dcterms:W3CDTF">2025-02-27T07:47:00Z</dcterms:created>
  <dcterms:modified xsi:type="dcterms:W3CDTF">2025-03-04T09:56:00Z</dcterms:modified>
</cp:coreProperties>
</file>